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C3680">
      <w:pPr>
        <w:rPr>
          <w:rFonts w:ascii="方正小标宋简体" w:eastAsia="方正小标宋简体"/>
          <w:sz w:val="32"/>
          <w:szCs w:val="24"/>
        </w:rPr>
      </w:pPr>
      <w:r>
        <w:rPr>
          <w:rFonts w:hint="eastAsia" w:ascii="方正小标宋简体" w:eastAsia="方正小标宋简体"/>
          <w:sz w:val="32"/>
          <w:szCs w:val="24"/>
        </w:rPr>
        <w:t>附件1：</w:t>
      </w:r>
    </w:p>
    <w:p w14:paraId="43C0689C">
      <w:pPr>
        <w:jc w:val="center"/>
      </w:pPr>
      <w:r>
        <w:rPr>
          <w:rFonts w:hint="eastAsia" w:ascii="方正小标宋简体" w:eastAsia="方正小标宋简体"/>
          <w:sz w:val="36"/>
          <w:szCs w:val="28"/>
        </w:rPr>
        <w:t>202</w:t>
      </w:r>
      <w:r>
        <w:rPr>
          <w:rFonts w:hint="eastAsia" w:ascii="方正小标宋简体" w:eastAsia="方正小标宋简体"/>
          <w:sz w:val="36"/>
          <w:szCs w:val="28"/>
          <w:lang w:val="en-US" w:eastAsia="zh-CN"/>
        </w:rPr>
        <w:t>6</w:t>
      </w:r>
      <w:r>
        <w:rPr>
          <w:rFonts w:hint="eastAsia" w:ascii="方正小标宋简体" w:eastAsia="方正小标宋简体"/>
          <w:sz w:val="36"/>
          <w:szCs w:val="28"/>
        </w:rPr>
        <w:t>年度职业教育教学研究课题立项指南</w:t>
      </w:r>
    </w:p>
    <w:tbl>
      <w:tblPr>
        <w:tblW w:w="89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104"/>
        <w:gridCol w:w="875"/>
        <w:gridCol w:w="7008"/>
      </w:tblGrid>
      <w:tr w14:paraId="7F501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6" w:hRule="atLeast"/>
          <w:jc w:val="center"/>
        </w:trPr>
        <w:tc>
          <w:tcPr>
            <w:tcW w:w="1104" w:type="dxa"/>
            <w:tcBorders>
              <w:top w:val="single" w:color="000000" w:sz="4" w:space="0"/>
              <w:left w:val="single" w:color="000000" w:sz="4" w:space="0"/>
              <w:bottom w:val="single" w:color="000000" w:sz="4" w:space="0"/>
              <w:right w:val="single" w:color="000000" w:sz="4" w:space="0"/>
            </w:tcBorders>
            <w:shd w:val="clear"/>
            <w:vAlign w:val="center"/>
          </w:tcPr>
          <w:p w14:paraId="3F2BEB76">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方 向</w:t>
            </w:r>
          </w:p>
        </w:tc>
        <w:tc>
          <w:tcPr>
            <w:tcW w:w="875" w:type="dxa"/>
            <w:tcBorders>
              <w:top w:val="single" w:color="000000" w:sz="4" w:space="0"/>
              <w:left w:val="single" w:color="000000" w:sz="4" w:space="0"/>
              <w:bottom w:val="single" w:color="000000" w:sz="4" w:space="0"/>
              <w:right w:val="single" w:color="000000" w:sz="4" w:space="0"/>
            </w:tcBorders>
            <w:shd w:val="clear"/>
            <w:vAlign w:val="center"/>
          </w:tcPr>
          <w:p w14:paraId="6673C39A">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编号</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10F30BD4">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课题名称</w:t>
            </w:r>
          </w:p>
        </w:tc>
      </w:tr>
      <w:tr w14:paraId="0CD76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E0C375">
            <w:pPr>
              <w:keepNext w:val="0"/>
              <w:keepLines w:val="0"/>
              <w:widowControl/>
              <w:suppressLineNumbers w:val="0"/>
              <w:spacing w:line="240" w:lineRule="auto"/>
              <w:jc w:val="both"/>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bdr w:val="none" w:color="auto" w:sz="0" w:space="0"/>
                <w:lang w:val="en-US" w:eastAsia="zh-CN" w:bidi="ar"/>
              </w:rPr>
              <w:t>A 商业职业教育服务“十五五”现代服务业与区域经济发展研究</w:t>
            </w:r>
          </w:p>
        </w:tc>
        <w:tc>
          <w:tcPr>
            <w:tcW w:w="875" w:type="dxa"/>
            <w:tcBorders>
              <w:top w:val="single" w:color="000000" w:sz="4" w:space="0"/>
              <w:left w:val="single" w:color="000000" w:sz="4" w:space="0"/>
              <w:bottom w:val="single" w:color="000000" w:sz="4" w:space="0"/>
              <w:right w:val="single" w:color="000000" w:sz="4" w:space="0"/>
            </w:tcBorders>
            <w:shd w:val="clear"/>
            <w:vAlign w:val="center"/>
          </w:tcPr>
          <w:p w14:paraId="0E1FFC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26A001</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0144C0B9">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数字赋能背景下商科专业“育训结合”服务乡村振兴路径研究</w:t>
            </w:r>
          </w:p>
        </w:tc>
      </w:tr>
      <w:tr w14:paraId="1B504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51D614">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vAlign w:val="center"/>
          </w:tcPr>
          <w:p w14:paraId="22C113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26A002</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54DC503E">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十五五视域下数智营销赋能乡村产业振兴路径研究与实践</w:t>
            </w:r>
          </w:p>
        </w:tc>
      </w:tr>
      <w:tr w14:paraId="33276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C4B735">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vAlign w:val="center"/>
          </w:tcPr>
          <w:p w14:paraId="1E7211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26A003</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4FE1E36B">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县域经济视域下直播电商与网络营销赋能乡村高质量发展路径创新研究</w:t>
            </w:r>
          </w:p>
        </w:tc>
      </w:tr>
      <w:tr w14:paraId="0C8E5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572458">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vAlign w:val="center"/>
          </w:tcPr>
          <w:p w14:paraId="3511B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26A004</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63DDFB43">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生成式AI赋能商科“人机协同”教学模式创新与实践研究</w:t>
            </w:r>
          </w:p>
        </w:tc>
      </w:tr>
      <w:tr w14:paraId="043E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3EA4D4">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vAlign w:val="center"/>
          </w:tcPr>
          <w:p w14:paraId="2AF9C0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26A005</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071B55FE">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基于知识图谱的新商科数字化教材建设与动态更新机制</w:t>
            </w:r>
          </w:p>
        </w:tc>
      </w:tr>
      <w:tr w14:paraId="12D2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3B1488">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vAlign w:val="center"/>
          </w:tcPr>
          <w:p w14:paraId="10AC18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26A006</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33DAC576">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职业院校“AI+”教学团队数字胜任力模型构建与培育</w:t>
            </w:r>
          </w:p>
        </w:tc>
      </w:tr>
      <w:tr w14:paraId="067E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restart"/>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0BD5DCE">
            <w:pPr>
              <w:keepNext w:val="0"/>
              <w:keepLines w:val="0"/>
              <w:widowControl/>
              <w:suppressLineNumbers w:val="0"/>
              <w:spacing w:line="240" w:lineRule="auto"/>
              <w:jc w:val="both"/>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bdr w:val="none" w:color="auto" w:sz="0" w:space="0"/>
                <w:lang w:val="en-US" w:eastAsia="zh-CN" w:bidi="ar"/>
              </w:rPr>
              <w:t>B 商科职业教育关键要素系统性改革研究</w:t>
            </w: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89EE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26B001</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CF7B9E7">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教学关键要素联动改革视角下商科专业“五位一体”建设路径研究</w:t>
            </w:r>
          </w:p>
        </w:tc>
      </w:tr>
      <w:tr w14:paraId="3FF07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75EB9BC">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62E385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26B002</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299EED9F">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数字孪生驱动下电子商务专业群实训体系构建与教学模式创新研究</w:t>
            </w:r>
          </w:p>
        </w:tc>
      </w:tr>
      <w:tr w14:paraId="6D61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5537C23">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EB75F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26B003</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BAA7B76">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产教融合共同体视域下商科“双师型”教师实践能力提升路径研究</w:t>
            </w:r>
          </w:p>
        </w:tc>
      </w:tr>
      <w:tr w14:paraId="32105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298095B">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1052D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26B004</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0A3C8BA">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产教融合视域下商科教师教学创新团队的建设模式研究</w:t>
            </w:r>
          </w:p>
        </w:tc>
      </w:tr>
      <w:tr w14:paraId="0D61C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1A4B040">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107A58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26B005</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677F7065">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数字化转型背景下商科职业教育创新教学团队建设路径研究</w:t>
            </w:r>
          </w:p>
        </w:tc>
      </w:tr>
      <w:tr w14:paraId="5A1C0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031A09A">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43190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26B006</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6D52EFC3">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职教关键要素改革视域下高职商科课程、教材与教学一体化创新研究</w:t>
            </w:r>
          </w:p>
        </w:tc>
      </w:tr>
      <w:tr w14:paraId="34672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52AEC91">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1EF25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26B007</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22DAF916">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基于能力图谱的高职商科专业模块化课程体系重构研究</w:t>
            </w:r>
          </w:p>
        </w:tc>
      </w:tr>
      <w:tr w14:paraId="43AE4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31359AD8">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3C51F1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26B008</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36387DCD">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现代商贸流通业“现场工程师”培养标准与课程体系重构</w:t>
            </w:r>
          </w:p>
        </w:tc>
      </w:tr>
      <w:tr w14:paraId="31822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0E9B966">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0D38D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26B009</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77E8D398">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市域产教联合体下商科“岗课赛证”融通育人机制研究</w:t>
            </w:r>
          </w:p>
        </w:tc>
      </w:tr>
      <w:tr w14:paraId="459F6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85AA7C2">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36376B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26B010</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6700AF04">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数字经济视域下传统商贸专业群数智化改造路径研究</w:t>
            </w:r>
          </w:p>
        </w:tc>
      </w:tr>
      <w:tr w14:paraId="67C09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66336CD9">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D5310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26B011</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7477A22B">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全要素改革视域下商贸类专业产教融合实践教学体系构建研究</w:t>
            </w:r>
          </w:p>
        </w:tc>
      </w:tr>
      <w:tr w14:paraId="01869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A139372">
            <w:pPr>
              <w:keepNext w:val="0"/>
              <w:keepLines w:val="0"/>
              <w:widowControl/>
              <w:suppressLineNumbers w:val="0"/>
              <w:spacing w:line="240" w:lineRule="auto"/>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bdr w:val="none" w:color="auto" w:sz="0" w:space="0"/>
                <w:lang w:val="en-US" w:eastAsia="zh-CN" w:bidi="ar"/>
              </w:rPr>
              <w:t>C 人工智能赋能职业教育数智化转型</w:t>
            </w: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011DD8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26C001</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3A309395">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新质生产力视域下商业职业教育专业数字化升级与动态调整机制研究;</w:t>
            </w:r>
          </w:p>
        </w:tc>
      </w:tr>
      <w:tr w14:paraId="4DDE3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4F812A">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4DC254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26C002</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03EBF2E8">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数智化转型背景下AIGC赋能上商贸专业教学应用研究</w:t>
            </w:r>
          </w:p>
        </w:tc>
      </w:tr>
      <w:tr w14:paraId="53E4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589967">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054147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26C003</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2EFD8577">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"人工智能+"背景下高职商科专业教学模式创新与实践研究</w:t>
            </w:r>
          </w:p>
        </w:tc>
      </w:tr>
      <w:tr w14:paraId="5D70D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3EAD79">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0B6102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26C004</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5B6A7F3D">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数据驱动的商科学生职业技能增值评价体系构建与应用</w:t>
            </w:r>
          </w:p>
        </w:tc>
      </w:tr>
      <w:tr w14:paraId="414E3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9F788C">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1CA5D7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26C005</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00F1D348">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商业伦理融入高职课程思政的隐性渗透机制与案例开发</w:t>
            </w:r>
          </w:p>
        </w:tc>
      </w:tr>
      <w:tr w14:paraId="05E03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EA9ABA">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23DBEB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26C006</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5B17E6D9">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人工智能背景下商科教师数字素养提升与教学创新团队重构研究</w:t>
            </w:r>
          </w:p>
        </w:tc>
      </w:tr>
      <w:tr w14:paraId="2E0A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5912F5">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062B5A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26C007</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098DB533">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“人工智能 +” 视域下商科职业本科人才培养研究</w:t>
            </w:r>
          </w:p>
        </w:tc>
      </w:tr>
      <w:tr w14:paraId="4F9F1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06DE1F">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653D1E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26C008</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034A49FF">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生成式AI赋能高职商科专业数智化转型的路径与实践研究</w:t>
            </w:r>
          </w:p>
        </w:tc>
      </w:tr>
      <w:tr w14:paraId="7E094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restart"/>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169A219E">
            <w:pPr>
              <w:keepNext w:val="0"/>
              <w:keepLines w:val="0"/>
              <w:widowControl/>
              <w:suppressLineNumbers w:val="0"/>
              <w:spacing w:line="240" w:lineRule="auto"/>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bdr w:val="none" w:color="auto" w:sz="0" w:space="0"/>
                <w:lang w:val="en-US" w:eastAsia="zh-CN" w:bidi="ar"/>
              </w:rPr>
              <w:t>D 商科人才培养模式与评价体系改革研究</w:t>
            </w: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07CD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26D001</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74126BC">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高职商科专业学生AI素养培养体系构建与评价研究</w:t>
            </w:r>
          </w:p>
        </w:tc>
      </w:tr>
      <w:tr w14:paraId="051C0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E0B5A1D">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6A475F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26D002</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539896CF">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产教融合共同体赋能高职商科高技能人才培养模式创新研究</w:t>
            </w:r>
          </w:p>
        </w:tc>
      </w:tr>
      <w:tr w14:paraId="3CAEC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327898F">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B7B6C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26D003</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34170AE6">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市域产教联合体视域下高职商科人才培养内涵重构与能力提升研究</w:t>
            </w:r>
          </w:p>
        </w:tc>
      </w:tr>
      <w:tr w14:paraId="0B270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05C1A7BB">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03652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26D004</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11C8D3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none" w:color="auto" w:sz="0" w:space="0"/>
                <w:lang w:val="en-US" w:eastAsia="zh-CN" w:bidi="ar"/>
              </w:rPr>
              <w:t>基于“一平台、双主体、三真教学、四阶递进”产教融合模式的地坪专业人才培养创新实践研究</w:t>
            </w:r>
          </w:p>
        </w:tc>
      </w:tr>
      <w:tr w14:paraId="235BF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6FD7C19">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F716D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26D005</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538B36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面向新质生产力的商科“校企共生型”产教融合生态与育人机制研究</w:t>
            </w:r>
          </w:p>
        </w:tc>
      </w:tr>
      <w:tr w14:paraId="77FDB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5C7C47F">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060B1C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26D006</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0CE46E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产教融合视域下高职商科人才多维培养体系构建与动态质量评价机制研究</w:t>
            </w:r>
          </w:p>
        </w:tc>
      </w:tr>
      <w:tr w14:paraId="2DEE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BD82175">
            <w:pPr>
              <w:keepNext w:val="0"/>
              <w:keepLines w:val="0"/>
              <w:widowControl/>
              <w:suppressLineNumbers w:val="0"/>
              <w:spacing w:line="240" w:lineRule="auto"/>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bdr w:val="none" w:color="auto" w:sz="0" w:space="0"/>
                <w:lang w:val="en-US" w:eastAsia="zh-CN" w:bidi="ar"/>
              </w:rPr>
              <w:t>E 商科教育数字化与智慧教育研究</w:t>
            </w: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7712B2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26E001</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57BD115E">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高职教师人工智能教学胜任力模型构建与应用研究</w:t>
            </w:r>
          </w:p>
        </w:tc>
      </w:tr>
      <w:tr w14:paraId="15B44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01F2AB">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4F417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26E002</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171BC097">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高职商科智慧课堂“人机双师”协同教学模式构建与应用研究</w:t>
            </w:r>
          </w:p>
        </w:tc>
      </w:tr>
      <w:tr w14:paraId="07CCF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3DCCDE">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24B76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26E003</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08E315E6">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高职商科数字化教学资源“建用评”一体化管理模式研究</w:t>
            </w:r>
          </w:p>
        </w:tc>
      </w:tr>
      <w:tr w14:paraId="7F359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92A6F9">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0694E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26E004</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4285F69B">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虚拟仿真实训赋能高职商科专业沉浸式教学体系构建研究</w:t>
            </w:r>
          </w:p>
        </w:tc>
      </w:tr>
      <w:tr w14:paraId="39C5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9F9288">
            <w:pPr>
              <w:spacing w:line="240" w:lineRule="auto"/>
              <w:jc w:val="center"/>
              <w:rPr>
                <w:rFonts w:hint="eastAsia" w:ascii="黑体" w:hAnsi="黑体" w:eastAsia="黑体" w:cs="黑体"/>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noWrap/>
            <w:vAlign w:val="center"/>
          </w:tcPr>
          <w:p w14:paraId="160C3B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26E005</w:t>
            </w:r>
          </w:p>
        </w:tc>
        <w:tc>
          <w:tcPr>
            <w:tcW w:w="7008" w:type="dxa"/>
            <w:tcBorders>
              <w:top w:val="single" w:color="000000" w:sz="4" w:space="0"/>
              <w:left w:val="single" w:color="000000" w:sz="4" w:space="0"/>
              <w:bottom w:val="single" w:color="000000" w:sz="4" w:space="0"/>
              <w:right w:val="single" w:color="000000" w:sz="4" w:space="0"/>
            </w:tcBorders>
            <w:shd w:val="clear"/>
            <w:vAlign w:val="center"/>
          </w:tcPr>
          <w:p w14:paraId="21B9799B">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职业教育数字化转型背景下商科在线开放课程知识图谱构建与应用研究</w:t>
            </w:r>
          </w:p>
        </w:tc>
      </w:tr>
      <w:tr w14:paraId="683D2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restart"/>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96C29C2">
            <w:pPr>
              <w:keepNext w:val="0"/>
              <w:keepLines w:val="0"/>
              <w:widowControl/>
              <w:suppressLineNumbers w:val="0"/>
              <w:spacing w:line="240" w:lineRule="auto"/>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bdr w:val="none" w:color="auto" w:sz="0" w:space="0"/>
                <w:lang w:val="en-US" w:eastAsia="zh-CN" w:bidi="ar"/>
              </w:rPr>
              <w:t>F 职业教育国际化</w:t>
            </w: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4DBE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26F001</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5F665AF4">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服务“一带一路”的高职电子商务留学生双核能力融育模式研究与实践</w:t>
            </w:r>
          </w:p>
        </w:tc>
      </w:tr>
      <w:tr w14:paraId="23A26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011BC3AF">
            <w:pPr>
              <w:jc w:val="center"/>
              <w:rPr>
                <w:rFonts w:hint="eastAsia" w:ascii="仿宋_GB2312" w:hAnsi="仿宋_GB2312" w:eastAsia="仿宋_GB2312" w:cs="仿宋_GB2312"/>
                <w:i w:val="0"/>
                <w:iCs w:val="0"/>
                <w:color w:val="000000"/>
                <w:sz w:val="21"/>
                <w:szCs w:val="21"/>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00995A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26F002</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52526B9E">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“中文+职业技能”融合模式下高职商科国际化课程资源开发与推广研究</w:t>
            </w:r>
          </w:p>
        </w:tc>
      </w:tr>
      <w:tr w14:paraId="2D065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B70C7B0">
            <w:pPr>
              <w:jc w:val="center"/>
              <w:rPr>
                <w:rFonts w:hint="eastAsia" w:ascii="仿宋_GB2312" w:hAnsi="仿宋_GB2312" w:eastAsia="仿宋_GB2312" w:cs="仿宋_GB2312"/>
                <w:i w:val="0"/>
                <w:iCs w:val="0"/>
                <w:color w:val="000000"/>
                <w:sz w:val="21"/>
                <w:szCs w:val="21"/>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9226E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26F003</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3B79073">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高职商科专业来华留学生“岗课赛证”融通培养模式研究</w:t>
            </w:r>
          </w:p>
        </w:tc>
      </w:tr>
      <w:tr w14:paraId="140F9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6E476BA9">
            <w:pPr>
              <w:jc w:val="center"/>
              <w:rPr>
                <w:rFonts w:hint="eastAsia" w:ascii="仿宋_GB2312" w:hAnsi="仿宋_GB2312" w:eastAsia="仿宋_GB2312" w:cs="仿宋_GB2312"/>
                <w:i w:val="0"/>
                <w:iCs w:val="0"/>
                <w:color w:val="000000"/>
                <w:sz w:val="21"/>
                <w:szCs w:val="21"/>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0330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26F004</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17A2ACBE">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职业教育“走出去”背景下高职商科海外办学模式与质量保障体系研究</w:t>
            </w:r>
          </w:p>
        </w:tc>
      </w:tr>
      <w:tr w14:paraId="2B2C4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3E5377DE">
            <w:pPr>
              <w:jc w:val="center"/>
              <w:rPr>
                <w:rFonts w:hint="eastAsia" w:ascii="仿宋_GB2312" w:hAnsi="仿宋_GB2312" w:eastAsia="仿宋_GB2312" w:cs="仿宋_GB2312"/>
                <w:i w:val="0"/>
                <w:iCs w:val="0"/>
                <w:color w:val="000000"/>
                <w:sz w:val="21"/>
                <w:szCs w:val="21"/>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CB71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26F005</w:t>
            </w:r>
          </w:p>
        </w:tc>
        <w:tc>
          <w:tcPr>
            <w:tcW w:w="700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53F44D8">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bdr w:val="none" w:color="auto" w:sz="0" w:space="0"/>
                <w:lang w:val="en-US" w:eastAsia="zh-CN" w:bidi="ar"/>
              </w:rPr>
              <w:t>高职商科“鲁班工坊”可持续发展机制与本土化运营模式研究</w:t>
            </w:r>
          </w:p>
        </w:tc>
      </w:tr>
    </w:tbl>
    <w:p w14:paraId="6450DE6A"/>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1BD3C0-BA9F-4938-9447-D8D747B6B0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BD70D57-BF88-4E74-99BE-EFF4C95B019D}"/>
  </w:font>
  <w:font w:name="方正小标宋简体">
    <w:panose1 w:val="02000000000000000000"/>
    <w:charset w:val="86"/>
    <w:family w:val="script"/>
    <w:pitch w:val="default"/>
    <w:sig w:usb0="00000001" w:usb1="080E0000" w:usb2="00000000" w:usb3="00000000" w:csb0="00040000" w:csb1="00000000"/>
    <w:embedRegular r:id="rId3" w:fontKey="{F2E6FDF2-1C92-44EC-A9C6-42CF6219EC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CD0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6B2C1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6B2C1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B0DE1">
    <w:pPr>
      <w:jc w:val="right"/>
      <w:rPr>
        <w:rFonts w:hint="default" w:eastAsia="仿宋_GB2312"/>
        <w:lang w:val="en-US" w:eastAsia="zh-CN"/>
      </w:rPr>
    </w:pPr>
    <w:r>
      <w:rPr>
        <w:rFonts w:hint="eastAsia" w:ascii="仿宋_GB2312" w:hAnsi="仿宋_GB2312" w:eastAsia="仿宋_GB2312" w:cs="仿宋_GB2312"/>
        <w:sz w:val="18"/>
        <w:szCs w:val="18"/>
        <w:lang w:val="en-US" w:eastAsia="zh-CN"/>
      </w:rPr>
      <w:t>附件1：</w:t>
    </w:r>
    <w:r>
      <w:rPr>
        <w:rFonts w:hint="eastAsia" w:ascii="仿宋_GB2312" w:hAnsi="仿宋_GB2312" w:eastAsia="仿宋_GB2312" w:cs="仿宋_GB2312"/>
        <w:sz w:val="18"/>
        <w:szCs w:val="18"/>
      </w:rPr>
      <w:t>202</w:t>
    </w:r>
    <w:r>
      <w:rPr>
        <w:rFonts w:hint="eastAsia" w:ascii="仿宋_GB2312" w:hAnsi="仿宋_GB2312" w:cs="仿宋_GB2312"/>
        <w:sz w:val="18"/>
        <w:szCs w:val="18"/>
        <w:lang w:val="en-US" w:eastAsia="zh-CN"/>
      </w:rPr>
      <w:t>6</w:t>
    </w:r>
    <w:r>
      <w:rPr>
        <w:rFonts w:hint="eastAsia" w:ascii="仿宋_GB2312" w:hAnsi="仿宋_GB2312" w:eastAsia="仿宋_GB2312" w:cs="仿宋_GB2312"/>
        <w:sz w:val="18"/>
        <w:szCs w:val="18"/>
      </w:rPr>
      <w:t>年度</w:t>
    </w:r>
    <w:r>
      <w:rPr>
        <w:rFonts w:hint="eastAsia" w:ascii="仿宋_GB2312" w:hAnsi="仿宋_GB2312" w:cs="仿宋_GB2312"/>
        <w:sz w:val="18"/>
        <w:szCs w:val="18"/>
        <w:lang w:val="en-US" w:eastAsia="zh-CN"/>
      </w:rPr>
      <w:t>商业行指委</w:t>
    </w:r>
    <w:r>
      <w:rPr>
        <w:rFonts w:hint="eastAsia" w:ascii="仿宋_GB2312" w:hAnsi="仿宋_GB2312" w:eastAsia="仿宋_GB2312" w:cs="仿宋_GB2312"/>
        <w:sz w:val="18"/>
        <w:szCs w:val="18"/>
      </w:rPr>
      <w:t>职业教育教学研究课题立项指南</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zNDc3NDE3OWUyNTU4YzVmMmY1MjE1M2ExNTA1YWUifQ=="/>
  </w:docVars>
  <w:rsids>
    <w:rsidRoot w:val="003043C1"/>
    <w:rsid w:val="000D75D6"/>
    <w:rsid w:val="00136971"/>
    <w:rsid w:val="00151054"/>
    <w:rsid w:val="001B6F1C"/>
    <w:rsid w:val="001E5489"/>
    <w:rsid w:val="002024CF"/>
    <w:rsid w:val="00233A71"/>
    <w:rsid w:val="0028473C"/>
    <w:rsid w:val="00285637"/>
    <w:rsid w:val="003043C1"/>
    <w:rsid w:val="00310770"/>
    <w:rsid w:val="00321EBA"/>
    <w:rsid w:val="00381900"/>
    <w:rsid w:val="003C604F"/>
    <w:rsid w:val="003E332E"/>
    <w:rsid w:val="004A056C"/>
    <w:rsid w:val="00534C2C"/>
    <w:rsid w:val="0055124E"/>
    <w:rsid w:val="0058456A"/>
    <w:rsid w:val="00643115"/>
    <w:rsid w:val="00682053"/>
    <w:rsid w:val="006A531C"/>
    <w:rsid w:val="007E7E3F"/>
    <w:rsid w:val="008314FC"/>
    <w:rsid w:val="0083477A"/>
    <w:rsid w:val="008F2160"/>
    <w:rsid w:val="00943B0F"/>
    <w:rsid w:val="00A65CB8"/>
    <w:rsid w:val="00A74760"/>
    <w:rsid w:val="00AC09DE"/>
    <w:rsid w:val="00AC5C15"/>
    <w:rsid w:val="00B2695E"/>
    <w:rsid w:val="00B925CE"/>
    <w:rsid w:val="00CB3649"/>
    <w:rsid w:val="00D913F2"/>
    <w:rsid w:val="00D92AF9"/>
    <w:rsid w:val="00DE58C8"/>
    <w:rsid w:val="00E56B3A"/>
    <w:rsid w:val="00EB4C9D"/>
    <w:rsid w:val="00F5288E"/>
    <w:rsid w:val="07117FA6"/>
    <w:rsid w:val="11DC08F5"/>
    <w:rsid w:val="1B00584B"/>
    <w:rsid w:val="245B2BEC"/>
    <w:rsid w:val="297F5EFD"/>
    <w:rsid w:val="33A90939"/>
    <w:rsid w:val="56FB6856"/>
    <w:rsid w:val="72D44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仿宋_GB2312" w:cstheme="minorBidi"/>
      <w:kern w:val="2"/>
      <w:sz w:val="28"/>
      <w:szCs w:val="22"/>
      <w:lang w:val="en-US" w:eastAsia="zh-CN" w:bidi="ar-SA"/>
    </w:rPr>
  </w:style>
  <w:style w:type="paragraph" w:styleId="2">
    <w:name w:val="heading 1"/>
    <w:basedOn w:val="1"/>
    <w:next w:val="1"/>
    <w:link w:val="10"/>
    <w:autoRedefine/>
    <w:qFormat/>
    <w:uiPriority w:val="9"/>
    <w:pPr>
      <w:keepNext/>
      <w:keepLines/>
      <w:outlineLvl w:val="0"/>
    </w:pPr>
    <w:rPr>
      <w:rFonts w:eastAsia="黑体"/>
      <w:bCs/>
      <w:kern w:val="44"/>
      <w:szCs w:val="44"/>
    </w:rPr>
  </w:style>
  <w:style w:type="paragraph" w:styleId="3">
    <w:name w:val="heading 2"/>
    <w:basedOn w:val="1"/>
    <w:next w:val="1"/>
    <w:link w:val="9"/>
    <w:autoRedefine/>
    <w:semiHidden/>
    <w:unhideWhenUsed/>
    <w:qFormat/>
    <w:uiPriority w:val="9"/>
    <w:pPr>
      <w:keepNext/>
      <w:keepLines/>
      <w:ind w:firstLine="200" w:firstLineChars="200"/>
      <w:outlineLvl w:val="1"/>
    </w:pPr>
    <w:rPr>
      <w:rFonts w:cstheme="majorBidi"/>
      <w:b/>
      <w:bCs/>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2"/>
    <w:autoRedefine/>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2 字符"/>
    <w:basedOn w:val="8"/>
    <w:link w:val="3"/>
    <w:autoRedefine/>
    <w:semiHidden/>
    <w:qFormat/>
    <w:uiPriority w:val="9"/>
    <w:rPr>
      <w:rFonts w:ascii="Times New Roman" w:hAnsi="Times New Roman" w:eastAsia="仿宋_GB2312" w:cstheme="majorBidi"/>
      <w:b/>
      <w:bCs/>
      <w:sz w:val="28"/>
      <w:szCs w:val="32"/>
    </w:rPr>
  </w:style>
  <w:style w:type="character" w:customStyle="1" w:styleId="10">
    <w:name w:val="标题 1 字符"/>
    <w:basedOn w:val="8"/>
    <w:link w:val="2"/>
    <w:autoRedefine/>
    <w:qFormat/>
    <w:uiPriority w:val="9"/>
    <w:rPr>
      <w:rFonts w:ascii="Times New Roman" w:hAnsi="Times New Roman" w:eastAsia="黑体"/>
      <w:bCs/>
      <w:kern w:val="44"/>
      <w:sz w:val="28"/>
      <w:szCs w:val="44"/>
    </w:rPr>
  </w:style>
  <w:style w:type="character" w:customStyle="1" w:styleId="11">
    <w:name w:val="页眉 字符"/>
    <w:basedOn w:val="8"/>
    <w:link w:val="5"/>
    <w:autoRedefine/>
    <w:qFormat/>
    <w:uiPriority w:val="99"/>
    <w:rPr>
      <w:rFonts w:ascii="Times New Roman" w:hAnsi="Times New Roman" w:eastAsia="仿宋_GB2312"/>
      <w:sz w:val="18"/>
      <w:szCs w:val="18"/>
    </w:rPr>
  </w:style>
  <w:style w:type="character" w:customStyle="1" w:styleId="12">
    <w:name w:val="页脚 字符"/>
    <w:basedOn w:val="8"/>
    <w:link w:val="4"/>
    <w:autoRedefine/>
    <w:qFormat/>
    <w:uiPriority w:val="99"/>
    <w:rPr>
      <w:rFonts w:ascii="Times New Roman" w:hAnsi="Times New Roman" w:eastAsia="仿宋_GB2312"/>
      <w:sz w:val="18"/>
      <w:szCs w:val="18"/>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2040</Words>
  <Characters>2593</Characters>
  <Lines>8</Lines>
  <Paragraphs>2</Paragraphs>
  <TotalTime>31</TotalTime>
  <ScaleCrop>false</ScaleCrop>
  <LinksUpToDate>false</LinksUpToDate>
  <CharactersWithSpaces>2598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2022-03-06T09:02:00Z</dcterms:created>
  <dc:creator>张 晓红</dc:creator>
  <cp:lastModifiedBy>潮汐</cp:lastModifiedBy>
  <dcterms:modified xsi:type="dcterms:W3CDTF">2026-07-28T11:04:28Z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139D98EF12474FD0981506F387284271_12</vt:lpwstr>
  </property>
  <property fmtid="{D5CDD505-2E9C-101B-9397-08002B2CF9AE}" pid="4" name="KSOTemplateDocerSaveRecord">
    <vt:lpwstr>eyJoZGlkIjoiODVjOTY4ZGQyMGM2MmJlZGE5ZmZjOTg2ZTE5ODc0N2UiLCJ1c2VySWQiOiIyNTM2ODIyNTQifQ==</vt:lpwstr>
  </property>
</Properties>
</file>